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037"/>
        <w:tblW w:w="11086" w:type="dxa"/>
        <w:tblLook w:val="04A0"/>
      </w:tblPr>
      <w:tblGrid>
        <w:gridCol w:w="3438"/>
        <w:gridCol w:w="7648"/>
      </w:tblGrid>
      <w:tr w:rsidR="00911426" w:rsidRPr="005A2BF4" w:rsidTr="00F06D29">
        <w:trPr>
          <w:trHeight w:val="531"/>
        </w:trPr>
        <w:tc>
          <w:tcPr>
            <w:tcW w:w="11086" w:type="dxa"/>
            <w:gridSpan w:val="2"/>
          </w:tcPr>
          <w:p w:rsidR="00911426" w:rsidRDefault="00911426" w:rsidP="00F06D29">
            <w:pPr>
              <w:rPr>
                <w:rFonts w:ascii="Arial Black" w:hAnsi="Arial Black" w:cs="Arial"/>
                <w:sz w:val="36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>Lesson:</w:t>
            </w:r>
            <w:r>
              <w:rPr>
                <w:rFonts w:ascii="Arial Black" w:hAnsi="Arial Black" w:cs="Arial"/>
                <w:sz w:val="36"/>
              </w:rPr>
              <w:t xml:space="preserve"> </w:t>
            </w:r>
            <w:r w:rsidR="004B0362">
              <w:rPr>
                <w:rFonts w:ascii="Arial Black" w:hAnsi="Arial Black" w:cs="Arial"/>
                <w:sz w:val="28"/>
                <w:szCs w:val="28"/>
              </w:rPr>
              <w:t>Day 4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of 1</w:t>
            </w:r>
            <w:r w:rsidRPr="0054450F">
              <w:rPr>
                <w:rFonts w:ascii="Arial Black" w:hAnsi="Arial Black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Grade Unit 2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Finn Family </w:t>
            </w:r>
            <w:proofErr w:type="spellStart"/>
            <w:r>
              <w:rPr>
                <w:rFonts w:ascii="Arial Black" w:hAnsi="Arial Black" w:cs="Arial"/>
                <w:sz w:val="28"/>
                <w:szCs w:val="28"/>
              </w:rPr>
              <w:t>Moomintroll</w:t>
            </w:r>
            <w:proofErr w:type="spellEnd"/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54450F">
              <w:rPr>
                <w:rFonts w:ascii="Arial Black" w:hAnsi="Arial Black" w:cs="Arial"/>
                <w:sz w:val="14"/>
                <w:szCs w:val="28"/>
              </w:rPr>
              <w:t>(use with power point)</w:t>
            </w:r>
          </w:p>
        </w:tc>
      </w:tr>
      <w:tr w:rsidR="00911426" w:rsidRPr="005A2BF4" w:rsidTr="00F06D29">
        <w:trPr>
          <w:trHeight w:val="531"/>
        </w:trPr>
        <w:tc>
          <w:tcPr>
            <w:tcW w:w="11086" w:type="dxa"/>
            <w:gridSpan w:val="2"/>
          </w:tcPr>
          <w:p w:rsidR="00911426" w:rsidRPr="00087366" w:rsidRDefault="00911426" w:rsidP="004B0362">
            <w:pPr>
              <w:rPr>
                <w:sz w:val="28"/>
                <w:szCs w:val="28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Standard:  </w:t>
            </w:r>
            <w:r w:rsidR="004B0362">
              <w:rPr>
                <w:rFonts w:ascii="Arial Black" w:hAnsi="Arial Black" w:cs="Arial"/>
                <w:sz w:val="28"/>
                <w:szCs w:val="28"/>
              </w:rPr>
              <w:t>RL.1.5 Explain major differences between books that tell stories and books that give information, drawing on a wide reading of a range of texts</w:t>
            </w:r>
          </w:p>
        </w:tc>
      </w:tr>
      <w:tr w:rsidR="00911426" w:rsidTr="00F06D29">
        <w:trPr>
          <w:trHeight w:val="2051"/>
        </w:trPr>
        <w:tc>
          <w:tcPr>
            <w:tcW w:w="3438" w:type="dxa"/>
          </w:tcPr>
          <w:p w:rsidR="00911426" w:rsidRPr="00406771" w:rsidRDefault="00911426" w:rsidP="00F06D29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8) Setting Objectives and Providing Feedback</w:t>
            </w:r>
          </w:p>
          <w:p w:rsidR="00911426" w:rsidRPr="005A2BF4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911426" w:rsidRPr="00BA1541" w:rsidRDefault="00911426" w:rsidP="00F06D2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BA1541">
              <w:rPr>
                <w:rFonts w:ascii="Arial Black" w:hAnsi="Arial Black"/>
                <w:sz w:val="44"/>
                <w:szCs w:val="44"/>
              </w:rPr>
              <w:t>G:</w:t>
            </w:r>
            <w:r w:rsidRPr="00BA154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  <w:p w:rsidR="00911426" w:rsidRPr="00980886" w:rsidRDefault="00911426" w:rsidP="00F06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0362">
              <w:rPr>
                <w:rFonts w:ascii="Arial" w:hAnsi="Arial" w:cs="Arial"/>
              </w:rPr>
              <w:t xml:space="preserve">ur goal today is </w:t>
            </w:r>
            <w:r w:rsidR="00F97F0B">
              <w:rPr>
                <w:rFonts w:ascii="Arial" w:hAnsi="Arial" w:cs="Arial"/>
              </w:rPr>
              <w:t>to learn the elements</w:t>
            </w:r>
            <w:r w:rsidR="004B0362">
              <w:rPr>
                <w:rFonts w:ascii="Arial" w:hAnsi="Arial" w:cs="Arial"/>
              </w:rPr>
              <w:t xml:space="preserve"> of a </w:t>
            </w:r>
            <w:r w:rsidR="00F97F0B">
              <w:rPr>
                <w:rFonts w:ascii="Arial" w:hAnsi="Arial" w:cs="Arial"/>
              </w:rPr>
              <w:t xml:space="preserve">fiction </w:t>
            </w:r>
            <w:r w:rsidR="004B0362">
              <w:rPr>
                <w:rFonts w:ascii="Arial" w:hAnsi="Arial" w:cs="Arial"/>
              </w:rPr>
              <w:t>story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911426" w:rsidTr="00F06D29">
        <w:trPr>
          <w:trHeight w:val="1931"/>
        </w:trPr>
        <w:tc>
          <w:tcPr>
            <w:tcW w:w="3438" w:type="dxa"/>
          </w:tcPr>
          <w:p w:rsidR="00911426" w:rsidRPr="00406771" w:rsidRDefault="00911426" w:rsidP="00F06D29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6) Nonlinguistic Representations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(7) Cooperative Learning</w:t>
            </w:r>
          </w:p>
          <w:p w:rsidR="00911426" w:rsidRPr="005A2BF4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911426" w:rsidRDefault="00911426" w:rsidP="00F06D29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</w:p>
          <w:p w:rsidR="00911426" w:rsidRPr="00911426" w:rsidRDefault="004B0362" w:rsidP="00F06D29">
            <w:pPr>
              <w:rPr>
                <w:rFonts w:ascii="Arial" w:hAnsi="Arial" w:cs="Arial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40"/>
              </w:rPr>
              <w:t xml:space="preserve">Using the template of pine needles, </w:t>
            </w:r>
            <w:proofErr w:type="spellStart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40"/>
              </w:rPr>
              <w:t>snufkin</w:t>
            </w:r>
            <w:proofErr w:type="spellEnd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40"/>
              </w:rPr>
              <w:t xml:space="preserve">, the black hat, the clouds, </w:t>
            </w:r>
            <w:proofErr w:type="spellStart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40"/>
              </w:rPr>
              <w:t>moominpappa</w:t>
            </w:r>
            <w:proofErr w:type="spellEnd"/>
            <w:r>
              <w:rPr>
                <w:rFonts w:ascii="Arial" w:eastAsia="+mn-ea" w:hAnsi="Arial" w:cs="Arial"/>
                <w:color w:val="000000"/>
                <w:kern w:val="24"/>
                <w:sz w:val="24"/>
                <w:szCs w:val="40"/>
              </w:rPr>
              <w:t xml:space="preserve"> and hobgoblin, have the students (whole group) place the objects in order in which they appear within the story.  This will be a review of the preface and chapter 1 of the story.  </w:t>
            </w:r>
          </w:p>
        </w:tc>
      </w:tr>
      <w:tr w:rsidR="00911426" w:rsidTr="00F06D29">
        <w:trPr>
          <w:trHeight w:val="1559"/>
        </w:trPr>
        <w:tc>
          <w:tcPr>
            <w:tcW w:w="3438" w:type="dxa"/>
          </w:tcPr>
          <w:p w:rsidR="00911426" w:rsidRPr="00406771" w:rsidRDefault="00911426" w:rsidP="00F06D29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 xml:space="preserve">3) Summarizing and Note Taking 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(5) Homework and Practice</w:t>
            </w:r>
          </w:p>
          <w:p w:rsidR="00911426" w:rsidRPr="00406771" w:rsidRDefault="00911426" w:rsidP="00F06D29">
            <w:pPr>
              <w:rPr>
                <w:rFonts w:ascii="Arial Black" w:hAnsi="Arial Black"/>
                <w:sz w:val="36"/>
              </w:rPr>
            </w:pPr>
            <w:r w:rsidRPr="00F3375A">
              <w:rPr>
                <w:rFonts w:ascii="Arial" w:hAnsi="Arial" w:cs="Arial"/>
              </w:rPr>
              <w:t>(11) Teaching Specific Types of Knowledge</w:t>
            </w:r>
          </w:p>
        </w:tc>
        <w:tc>
          <w:tcPr>
            <w:tcW w:w="7648" w:type="dxa"/>
          </w:tcPr>
          <w:p w:rsidR="00F97F0B" w:rsidRDefault="00911426" w:rsidP="004B036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N: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r w:rsidR="004B0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Today, we are going to record on a chart the different things that we have learned about fiction stories by thinking about </w:t>
            </w:r>
            <w:r w:rsidR="004B0362" w:rsidRPr="00F97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Finn Family</w:t>
            </w:r>
            <w:r w:rsidR="004B0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362" w:rsidRPr="00F97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Moomintroll</w:t>
            </w:r>
            <w:proofErr w:type="spellEnd"/>
            <w:r w:rsidR="004B0362" w:rsidRPr="00F97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.</w:t>
            </w:r>
            <w:r w:rsidR="004B03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F97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we read a fiction story, there are 4 things that we know it will have: characters, setting, plot and central message/theme.</w:t>
            </w:r>
          </w:p>
          <w:p w:rsidR="004B0362" w:rsidRPr="00F97F0B" w:rsidRDefault="004B0362" w:rsidP="00F97F0B">
            <w:pPr>
              <w:rPr>
                <w:rFonts w:ascii="Arial" w:hAnsi="Arial" w:cs="Arial"/>
              </w:rPr>
            </w:pPr>
          </w:p>
        </w:tc>
      </w:tr>
      <w:tr w:rsidR="00911426" w:rsidTr="00F06D29">
        <w:trPr>
          <w:trHeight w:val="1562"/>
        </w:trPr>
        <w:tc>
          <w:tcPr>
            <w:tcW w:w="3438" w:type="dxa"/>
          </w:tcPr>
          <w:p w:rsidR="00911426" w:rsidRPr="005A2BF4" w:rsidRDefault="00911426" w:rsidP="00F06D29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(2) Identifying Similarities and Differences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(9) Generating and Testing Hypotheses</w:t>
            </w:r>
          </w:p>
          <w:p w:rsidR="00911426" w:rsidRPr="005A2BF4" w:rsidRDefault="00911426" w:rsidP="00F06D29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911426" w:rsidRDefault="00911426" w:rsidP="00F06D29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</w:p>
          <w:p w:rsidR="00F97F0B" w:rsidRDefault="00F97F0B" w:rsidP="00F97F0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Use the elements of fiction listed below and as a class, to fill in information from the story.</w:t>
            </w:r>
          </w:p>
          <w:p w:rsidR="00F97F0B" w:rsidRPr="00F97F0B" w:rsidRDefault="00F97F0B" w:rsidP="00F06D29">
            <w:pPr>
              <w:rPr>
                <w:rFonts w:ascii="Arial Black" w:hAnsi="Arial Black"/>
                <w:sz w:val="28"/>
                <w:szCs w:val="4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708"/>
              <w:gridCol w:w="3709"/>
            </w:tblGrid>
            <w:tr w:rsidR="00F97F0B" w:rsidTr="00F06D29">
              <w:tc>
                <w:tcPr>
                  <w:tcW w:w="3708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characters</w:t>
                  </w:r>
                </w:p>
              </w:tc>
              <w:tc>
                <w:tcPr>
                  <w:tcW w:w="3709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97F0B" w:rsidTr="00F06D29">
              <w:tc>
                <w:tcPr>
                  <w:tcW w:w="3708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setting</w:t>
                  </w:r>
                </w:p>
              </w:tc>
              <w:tc>
                <w:tcPr>
                  <w:tcW w:w="3709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97F0B" w:rsidTr="00F06D29">
              <w:tc>
                <w:tcPr>
                  <w:tcW w:w="3708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Plot- B/M/E</w:t>
                  </w:r>
                </w:p>
              </w:tc>
              <w:tc>
                <w:tcPr>
                  <w:tcW w:w="3709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97F0B" w:rsidTr="00F06D29">
              <w:tc>
                <w:tcPr>
                  <w:tcW w:w="3708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Central Message/lesson/theme</w:t>
                  </w:r>
                </w:p>
              </w:tc>
              <w:tc>
                <w:tcPr>
                  <w:tcW w:w="3709" w:type="dxa"/>
                </w:tcPr>
                <w:p w:rsidR="00F97F0B" w:rsidRDefault="00F97F0B" w:rsidP="002B1F51">
                  <w:pPr>
                    <w:framePr w:hSpace="180" w:wrap="around" w:vAnchor="text" w:hAnchor="margin" w:xAlign="center" w:y="-1037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11426" w:rsidRPr="00FA63CF" w:rsidRDefault="00911426" w:rsidP="00F06D29">
            <w:pPr>
              <w:rPr>
                <w:rFonts w:ascii="Arial" w:hAnsi="Arial" w:cs="Arial"/>
              </w:rPr>
            </w:pPr>
          </w:p>
        </w:tc>
      </w:tr>
      <w:tr w:rsidR="00911426" w:rsidTr="00F06D29">
        <w:trPr>
          <w:trHeight w:val="2063"/>
        </w:trPr>
        <w:tc>
          <w:tcPr>
            <w:tcW w:w="3438" w:type="dxa"/>
          </w:tcPr>
          <w:p w:rsidR="00911426" w:rsidRPr="00406771" w:rsidRDefault="00911426" w:rsidP="00F06D29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911426" w:rsidRPr="00F3375A" w:rsidRDefault="00911426" w:rsidP="00F06D29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(8) Setting Objectives and Providing Feedback</w:t>
            </w:r>
          </w:p>
          <w:p w:rsidR="00911426" w:rsidRPr="005A2BF4" w:rsidRDefault="00911426" w:rsidP="00F06D29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911426" w:rsidRPr="00BA1541" w:rsidRDefault="00911426" w:rsidP="00F06D29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G:</w:t>
            </w:r>
          </w:p>
          <w:p w:rsidR="00911426" w:rsidRPr="009957EC" w:rsidRDefault="00911426" w:rsidP="00F97F0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Our goal </w:t>
            </w:r>
            <w:r w:rsidR="00F97F0B">
              <w:rPr>
                <w:rFonts w:ascii="Arial" w:hAnsi="Arial" w:cs="Arial"/>
                <w:sz w:val="28"/>
                <w:szCs w:val="32"/>
              </w:rPr>
              <w:t>today was to learn about the elements of a fiction story.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2371C"/>
    <w:multiLevelType w:val="hybridMultilevel"/>
    <w:tmpl w:val="D018E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11426"/>
    <w:rsid w:val="0013564C"/>
    <w:rsid w:val="0015400A"/>
    <w:rsid w:val="00237843"/>
    <w:rsid w:val="002B1F51"/>
    <w:rsid w:val="002E6285"/>
    <w:rsid w:val="003121BA"/>
    <w:rsid w:val="0033120B"/>
    <w:rsid w:val="00417539"/>
    <w:rsid w:val="00422E68"/>
    <w:rsid w:val="004B0362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1426"/>
    <w:rsid w:val="009229B7"/>
    <w:rsid w:val="009630FD"/>
    <w:rsid w:val="009B6A3A"/>
    <w:rsid w:val="00A0276A"/>
    <w:rsid w:val="00AC037F"/>
    <w:rsid w:val="00B0493A"/>
    <w:rsid w:val="00B261E0"/>
    <w:rsid w:val="00B7781D"/>
    <w:rsid w:val="00BA0895"/>
    <w:rsid w:val="00BE6BA9"/>
    <w:rsid w:val="00C555E2"/>
    <w:rsid w:val="00D60D89"/>
    <w:rsid w:val="00E439DF"/>
    <w:rsid w:val="00E63BCD"/>
    <w:rsid w:val="00E67DDB"/>
    <w:rsid w:val="00EF2725"/>
    <w:rsid w:val="00F97F0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1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2012-10-05T17:19:00Z</dcterms:created>
  <dcterms:modified xsi:type="dcterms:W3CDTF">2012-10-05T17:19:00Z</dcterms:modified>
</cp:coreProperties>
</file>